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6A1098CA" w:rsidR="00D067B9" w:rsidRDefault="00D067B9" w:rsidP="00563016">
      <w:pPr>
        <w:pStyle w:val="Body"/>
      </w:pPr>
      <w:r>
        <w:t>I</w:t>
      </w:r>
      <w:r w:rsidR="00607D58">
        <w:t>,</w:t>
      </w:r>
      <w:r>
        <w:t xml:space="preserve"> </w:t>
      </w:r>
      <w:r w:rsidR="00607D58">
        <w:t xml:space="preserve">Elizabeth Scott, </w:t>
      </w:r>
      <w:r>
        <w:t>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proofErr w:type="spellStart"/>
      <w:r w:rsidR="00F5748C">
        <w:t>NewVIc</w:t>
      </w:r>
      <w:proofErr w:type="spellEnd"/>
      <w:r w:rsidR="00F5748C">
        <w:t xml:space="preserve">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 xml:space="preserve">, </w:t>
            </w:r>
            <w:proofErr w:type="gramStart"/>
            <w:r w:rsidR="00563016">
              <w:rPr>
                <w:i/>
                <w:iCs/>
              </w:rPr>
              <w:t>employer</w:t>
            </w:r>
            <w:proofErr w:type="gramEnd"/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0BA6F7DE" w:rsidR="00D067B9" w:rsidRDefault="002C75E3" w:rsidP="00D067B9">
            <w:pPr>
              <w:pStyle w:val="Body"/>
            </w:pPr>
            <w:r>
              <w:t>Currently self-employed as a Coach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0E0B77F8" w:rsidR="00D067B9" w:rsidRDefault="002C75E3" w:rsidP="00D067B9">
            <w:pPr>
              <w:pStyle w:val="Body"/>
            </w:pPr>
            <w:r>
              <w:t>N/A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7782A08C" w14:textId="77777777" w:rsidR="00D067B9" w:rsidRDefault="002C75E3" w:rsidP="002C75E3">
            <w:pPr>
              <w:pStyle w:val="Body"/>
              <w:jc w:val="left"/>
            </w:pPr>
            <w:r>
              <w:t>Member of International Coaching Federation</w:t>
            </w:r>
          </w:p>
          <w:p w14:paraId="08879C53" w14:textId="3376390B" w:rsidR="002C75E3" w:rsidRDefault="002C75E3" w:rsidP="002C75E3">
            <w:pPr>
              <w:pStyle w:val="Body"/>
              <w:jc w:val="left"/>
            </w:pPr>
            <w:r>
              <w:t>Member of Hounslow West Evangelical Church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12D6FB4D" w:rsidR="00D067B9" w:rsidRDefault="002C75E3" w:rsidP="00D067B9">
            <w:pPr>
              <w:pStyle w:val="Body"/>
            </w:pPr>
            <w:r>
              <w:t>N/A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</w:t>
            </w:r>
            <w:proofErr w:type="gramStart"/>
            <w:r>
              <w:t>in excess of</w:t>
            </w:r>
            <w:proofErr w:type="gramEnd"/>
            <w:r>
              <w:t xml:space="preserve">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0F0DD329" w:rsidR="00D067B9" w:rsidRDefault="002C75E3" w:rsidP="00D067B9">
            <w:pPr>
              <w:pStyle w:val="Body"/>
            </w:pPr>
            <w:r>
              <w:t>N/A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488EE956" w:rsidR="00D067B9" w:rsidRDefault="002C75E3" w:rsidP="00D067B9">
            <w:pPr>
              <w:pStyle w:val="Body"/>
            </w:pPr>
            <w:r>
              <w:t>N/A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2D9A61DC" w:rsidR="00170EFE" w:rsidRDefault="002C75E3" w:rsidP="00D067B9">
            <w:pPr>
              <w:pStyle w:val="Body"/>
            </w:pPr>
            <w:r>
              <w:t>N/A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5040276B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</w:r>
      <w:r w:rsidR="002C75E3">
        <w:rPr>
          <w:noProof/>
        </w:rPr>
        <w:drawing>
          <wp:inline distT="0" distB="0" distL="0" distR="0" wp14:anchorId="48351F2B" wp14:editId="38F992A8">
            <wp:extent cx="755650" cy="224790"/>
            <wp:effectExtent l="0" t="0" r="6350" b="381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" cy="23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</w:t>
      </w:r>
      <w:proofErr w:type="spellStart"/>
      <w:r w:rsidR="00106048">
        <w:t>NewVIc</w:t>
      </w:r>
      <w:proofErr w:type="spellEnd"/>
      <w:r w:rsidR="004C3DDA">
        <w:t xml:space="preserve"> </w:t>
      </w:r>
      <w:r w:rsidR="000A35F3">
        <w:t xml:space="preserve">Corporation </w:t>
      </w:r>
    </w:p>
    <w:p w14:paraId="370B09BA" w14:textId="5AF4E26A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2C75E3">
        <w:t>30 August 2023</w:t>
      </w:r>
    </w:p>
    <w:p w14:paraId="7E480D7E" w14:textId="2D3AA039" w:rsidR="00B12CAB" w:rsidRDefault="00B12CAB" w:rsidP="00170EFE">
      <w:pPr>
        <w:pStyle w:val="Body"/>
      </w:pPr>
    </w:p>
    <w:p w14:paraId="3D217184" w14:textId="1CCB8ED7" w:rsidR="00B12CAB" w:rsidRPr="00D067B9" w:rsidRDefault="00B12CAB" w:rsidP="00170EFE">
      <w:pPr>
        <w:pStyle w:val="Body"/>
      </w:pPr>
      <w:r>
        <w:t xml:space="preserve">When completed please return to the </w:t>
      </w:r>
      <w:r w:rsidR="00757DE3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9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49D" w14:textId="77777777" w:rsidR="0034201C" w:rsidRDefault="0034201C" w:rsidP="005D30CA">
      <w:r>
        <w:separator/>
      </w:r>
    </w:p>
  </w:endnote>
  <w:endnote w:type="continuationSeparator" w:id="0">
    <w:p w14:paraId="75CCAA7B" w14:textId="77777777" w:rsidR="0034201C" w:rsidRDefault="0034201C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A82D" w14:textId="77777777" w:rsidR="0034201C" w:rsidRDefault="0034201C" w:rsidP="005D30CA">
      <w:r>
        <w:separator/>
      </w:r>
    </w:p>
  </w:footnote>
  <w:footnote w:type="continuationSeparator" w:id="0">
    <w:p w14:paraId="41B6F25F" w14:textId="77777777" w:rsidR="0034201C" w:rsidRDefault="0034201C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C75E3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201C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07D58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57DE3"/>
    <w:rsid w:val="007721A6"/>
    <w:rsid w:val="00785468"/>
    <w:rsid w:val="0079192D"/>
    <w:rsid w:val="007B4017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945FC"/>
    <w:rsid w:val="00FB1CAE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John Scott</cp:lastModifiedBy>
  <cp:revision>3</cp:revision>
  <cp:lastPrinted>2016-01-19T09:19:00Z</cp:lastPrinted>
  <dcterms:created xsi:type="dcterms:W3CDTF">2023-08-30T14:29:00Z</dcterms:created>
  <dcterms:modified xsi:type="dcterms:W3CDTF">2023-08-30T14:33:00Z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